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color w:val="bfbfbf"/>
          <w:rtl w:val="0"/>
        </w:rPr>
        <w:t xml:space="preserve">Version 4:  May 4, 2017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-406399</wp:posOffset>
                </wp:positionV>
                <wp:extent cx="2857500" cy="118999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17250" y="3185005"/>
                          <a:ext cx="2857500" cy="1189990"/>
                          <a:chOff x="3917250" y="3185005"/>
                          <a:chExt cx="2857500" cy="1189990"/>
                        </a:xfrm>
                      </wpg:grpSpPr>
                      <wpg:grpSp>
                        <wpg:cNvGrpSpPr/>
                        <wpg:grpSpPr>
                          <a:xfrm>
                            <a:off x="3917250" y="3185005"/>
                            <a:ext cx="2857500" cy="1189990"/>
                            <a:chOff x="0" y="0"/>
                            <a:chExt cx="2857500" cy="11899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57500" cy="118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2875" y="38100"/>
                              <a:ext cx="2714625" cy="1151890"/>
                              <a:chOff x="1095375" y="66700"/>
                              <a:chExt cx="2714625" cy="115294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095375" y="66700"/>
                                <a:ext cx="2209800" cy="1058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209800" y="233386"/>
                                <a:ext cx="1600200" cy="98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800000"/>
                                      <w:sz w:val="28"/>
                                      <w:vertAlign w:val="baseline"/>
                                    </w:rPr>
                                    <w:t xml:space="preserve">Clinician                       Educator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8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0000"/>
                                      <w:sz w:val="18"/>
                                      <w:vertAlign w:val="baseline"/>
                                    </w:rPr>
                                    <w:t xml:space="preserve">AFC Program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0000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352550" cy="1007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Schoolbook" w:cs="Century Schoolbook" w:eastAsia="Century Schoolbook" w:hAnsi="Century Schoolboo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f7f7f"/>
                                    <w:sz w:val="120"/>
                                    <w:vertAlign w:val="baseline"/>
                                  </w:rPr>
                                  <w:t xml:space="preserve">CE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-406399</wp:posOffset>
                </wp:positionV>
                <wp:extent cx="2857500" cy="118999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189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McMASTER UNIVERSITY &amp; UNIVERSITY OF SASKATCHEWAN:  Clinician Educator Program Training Track Record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b w:val="1"/>
          <w:color w:val="800000"/>
          <w:sz w:val="28"/>
          <w:szCs w:val="28"/>
          <w:u w:val="single"/>
          <w:rtl w:val="0"/>
        </w:rPr>
        <w:t xml:space="preserve">UNIT:  CURRICULUM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Unit Supervisor: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Unit participation dates: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pageBreakBefore w:val="0"/>
        <w:rPr>
          <w:b w:val="1"/>
          <w:color w:val="c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 the end of this unit the CE candidate is able to: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and conduct a needs assessment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Systematically design and plan the implementation of a curriculum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Evaluate an educational program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Unit Prerequisite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Foundations Part 1; Teaching and Learning (co-requisite)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Activities &amp; Evidence: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    </w:t>
        <w:tab/>
      </w:r>
      <w:r w:rsidDel="00000000" w:rsidR="00000000" w:rsidRPr="00000000">
        <w:rPr>
          <w:rtl w:val="0"/>
        </w:rPr>
        <w:t xml:space="preserve">Complete a minimum of </w:t>
      </w:r>
      <w:r w:rsidDel="00000000" w:rsidR="00000000" w:rsidRPr="00000000">
        <w:rPr>
          <w:b w:val="1"/>
          <w:color w:val="ff0000"/>
          <w:rtl w:val="0"/>
        </w:rPr>
        <w:t xml:space="preserve">6 hrs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in a formal learning activity or a series of activities related to curriculum design.  </w:t>
      </w:r>
      <w:r w:rsidDel="00000000" w:rsidR="00000000" w:rsidRPr="00000000">
        <w:rPr>
          <w:color w:val="ff0000"/>
          <w:rtl w:val="0"/>
        </w:rPr>
        <w:t xml:space="preserve">This activity or activities should include interactions with other learners and teachers.  Activities should facilitate a deeper engagement with the material.  </w:t>
      </w:r>
      <w:r w:rsidDel="00000000" w:rsidR="00000000" w:rsidRPr="00000000">
        <w:rPr>
          <w:rtl w:val="0"/>
        </w:rPr>
        <w:t xml:space="preserve">Can include: workshops, courses, e-learning program or other faculty-development programs, national specialty or educational conference; freestanding course (e.g. CLIME), Physician Management Institute course (CMA) etc.  T-TIME, Gwena Moss workshops, Medical Education conferences, webinars, podcasts, journal reading, etc. can all count towards formal learning. ** Please discuss your course selection with Director or AFC committee prior to enrolling.</w:t>
      </w:r>
    </w:p>
    <w:p w:rsidR="00000000" w:rsidDel="00000000" w:rsidP="00000000" w:rsidRDefault="00000000" w:rsidRPr="00000000" w14:paraId="0000001A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8"/>
        <w:gridCol w:w="900"/>
        <w:gridCol w:w="900"/>
        <w:gridCol w:w="4518"/>
        <w:tblGridChange w:id="0">
          <w:tblGrid>
            <w:gridCol w:w="2538"/>
            <w:gridCol w:w="900"/>
            <w:gridCol w:w="900"/>
            <w:gridCol w:w="4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Hrs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hanging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Total hours:</w:t>
      </w:r>
      <w:r w:rsidDel="00000000" w:rsidR="00000000" w:rsidRPr="00000000">
        <w:rPr>
          <w:rtl w:val="0"/>
        </w:rPr>
        <w:t xml:space="preserve">  _________</w:t>
      </w:r>
    </w:p>
    <w:p w:rsidR="00000000" w:rsidDel="00000000" w:rsidP="00000000" w:rsidRDefault="00000000" w:rsidRPr="00000000" w14:paraId="00000035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ab/>
        <w:t xml:space="preserve">** </w:t>
      </w:r>
      <w:r w:rsidDel="00000000" w:rsidR="00000000" w:rsidRPr="00000000">
        <w:rPr>
          <w:i w:val="1"/>
          <w:rtl w:val="0"/>
        </w:rPr>
        <w:t xml:space="preserve">Must submit proof of successful completion of these formal learning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pageBreakBefore w:val="0"/>
        <w:ind w:left="720" w:hanging="720"/>
        <w:rPr>
          <w:i w:val="1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Provide a report outlining the completed </w:t>
      </w:r>
      <w:r w:rsidDel="00000000" w:rsidR="00000000" w:rsidRPr="00000000">
        <w:rPr>
          <w:u w:val="single"/>
          <w:rtl w:val="0"/>
        </w:rPr>
        <w:t xml:space="preserve">needs assessment</w:t>
      </w:r>
      <w:r w:rsidDel="00000000" w:rsidR="00000000" w:rsidRPr="00000000">
        <w:rPr>
          <w:rtl w:val="0"/>
        </w:rPr>
        <w:t xml:space="preserve"> for a planned curriculum or curricular innovation.  Use a design agreed upon by the candidate and the unit advisor.  (Milestone 3.1)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Design &amp; plan implementation of curriculum based on above.  Provide a </w:t>
      </w:r>
      <w:r w:rsidDel="00000000" w:rsidR="00000000" w:rsidRPr="00000000">
        <w:rPr>
          <w:u w:val="single"/>
          <w:rtl w:val="0"/>
        </w:rPr>
        <w:t xml:space="preserve">written report</w:t>
      </w:r>
      <w:r w:rsidDel="00000000" w:rsidR="00000000" w:rsidRPr="00000000">
        <w:rPr>
          <w:rtl w:val="0"/>
        </w:rPr>
        <w:t xml:space="preserve"> including detailed plan for program evaluation. Include learning objectives and (if appropriate) curriculum map.  (Milestone 3.2) Report content to include by not limited to: </w:t>
      </w:r>
    </w:p>
    <w:p w:rsidR="00000000" w:rsidDel="00000000" w:rsidP="00000000" w:rsidRDefault="00000000" w:rsidRPr="00000000" w14:paraId="0000003B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Justification for overall approach &amp; curriculum elements incorporated in design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Challenges encountered (or anticipated) and how these were (or would be) addressed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determination and description of required human, physical and financial resources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Plans for improvement in subsequent iterations of the curriculum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Documented response/feedback from the unit advisor and candidate’s subsequent reply to this</w:t>
      </w:r>
    </w:p>
    <w:p w:rsidR="00000000" w:rsidDel="00000000" w:rsidP="00000000" w:rsidRDefault="00000000" w:rsidRPr="00000000" w14:paraId="0000004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720" w:hanging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      Plan/design a program evaluation for the planned curriculum to determine strengths and limitations. Provide a written report using a design agreed upon by the candidate and unit advisor.  Plan should include:  (Milestone 5.1)</w:t>
      </w:r>
    </w:p>
    <w:p w:rsidR="00000000" w:rsidDel="00000000" w:rsidP="00000000" w:rsidRDefault="00000000" w:rsidRPr="00000000" w14:paraId="00000043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used to inform the program evaluation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 for data aggregation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 for global evaluation of the program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for improvements in subsequent iterations of the curriculum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documented response from the unit advisor as well as the candidate’s subsequent reply</w:t>
      </w:r>
    </w:p>
    <w:p w:rsidR="00000000" w:rsidDel="00000000" w:rsidP="00000000" w:rsidRDefault="00000000" w:rsidRPr="00000000" w14:paraId="00000049">
      <w:pPr>
        <w:pageBreakBefore w:val="0"/>
        <w:ind w:left="720" w:hanging="72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hanging="720"/>
        <w:rPr>
          <w:color w:val="ff000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A Final Unit Report:  narrative report from the unit advisor using the prescribed template for this unit, indicating that the candidate has successfully completed the unit and all its requirements.</w:t>
      </w:r>
    </w:p>
    <w:p w:rsidR="00000000" w:rsidDel="00000000" w:rsidP="00000000" w:rsidRDefault="00000000" w:rsidRPr="00000000" w14:paraId="0000004B">
      <w:pPr>
        <w:pageBreakBefore w:val="0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Unit Supervisor Meetings: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Minimum requirement for this unit is </w:t>
      </w:r>
      <w:r w:rsidDel="00000000" w:rsidR="00000000" w:rsidRPr="00000000">
        <w:rPr>
          <w:b w:val="1"/>
          <w:rtl w:val="0"/>
        </w:rPr>
        <w:t xml:space="preserve">4 x 30 minute</w:t>
      </w:r>
      <w:r w:rsidDel="00000000" w:rsidR="00000000" w:rsidRPr="00000000">
        <w:rPr>
          <w:rtl w:val="0"/>
        </w:rPr>
        <w:t xml:space="preserve"> meetings.  Purpose of meetings to discuss and received feedback on understanding of key ideas in curriculum design and program evaluation; check progress in achieving unit learning objectives; monitor progress in learning activities.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&amp; times of meetings: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6948"/>
        <w:tblGridChange w:id="0">
          <w:tblGrid>
            <w:gridCol w:w="2628"/>
            <w:gridCol w:w="6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&amp; Duration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Discussions &amp; Outcome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Reading: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Track and record your reading activities.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of Unit: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Supervisor End of Unit report received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CE candidate End of Unit &amp; Supervisor Evaluation received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Discussed at AFC committee</w:t>
      </w:r>
    </w:p>
    <w:p w:rsidR="00000000" w:rsidDel="00000000" w:rsidP="00000000" w:rsidRDefault="00000000" w:rsidRPr="00000000" w14:paraId="0000006D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right"/>
        <w:rPr>
          <w:color w:val="7f7f7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5FF9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15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15FF9"/>
    <w:pPr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15FF9"/>
    <w:pPr>
      <w:ind w:left="720"/>
      <w:contextualSpacing w:val="1"/>
    </w:pPr>
  </w:style>
  <w:style w:type="paragraph" w:styleId="Default" w:customStyle="1">
    <w:name w:val="Default"/>
    <w:rsid w:val="00115FF9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48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E48A0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C6B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6634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634B"/>
  </w:style>
  <w:style w:type="paragraph" w:styleId="Footer">
    <w:name w:val="footer"/>
    <w:basedOn w:val="Normal"/>
    <w:link w:val="FooterChar"/>
    <w:uiPriority w:val="99"/>
    <w:unhideWhenUsed w:val="1"/>
    <w:rsid w:val="00B663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634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KTe0691vy9PMBZ4CU5v2Ev2Zw==">AMUW2mVIPY4lyxryLbgtD+Bv/TifVS2O6x03v3RVXJOmXaWMIdjiTukG1XOY03xDb2GcLamftlWkw27P7ika/cHkXahuM0COt0MDjfYxwfsOJbx3LqPROeb3qQUfX9GYI9b0h/08Nf2C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2016-09-01T20:00:00Z</dcterms:created>
  <dc:creator>finlay</dc:creator>
</cp:coreProperties>
</file>